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136 vom 7. Dezember 1990</w:t>
      </w:r>
    </w:p>
    <w:p>
      <w:r>
        <w:t>Bundesgericht (BGE), 1990-12-07, FR</w:t>
      </w:r>
    </w:p>
    <w:p>
      <w:r>
        <w:rPr>
          <w:b/>
        </w:rPr>
        <w:t xml:space="preserve">Quelle: </w:t>
      </w:r>
      <w:r>
        <w:t>https://mcp.opencaselaw.ch/entscheid/bge_119 IA 136</w:t>
      </w:r>
    </w:p>
    <w:p>
      <w:r>
        <w:t>FR: BGE 119 IA 136 du 7 décembre 1990</w:t>
      </w:r>
    </w:p>
    <w:p>
      <w:r>
        <w:t>IT: BGE 119 IA 136 del 7 dicembre 1990</w:t>
      </w:r>
    </w:p>
    <w:p>
      <w:pPr>
        <w:pStyle w:val="Heading2"/>
      </w:pPr>
      <w:r>
        <w:t>Regeste</w:t>
      </w:r>
    </w:p>
    <w:p>
      <w:r>
        <w:t>Regeste Art. 4 BV; Anspruch auf rechtliches Gehör. Tragweite des Anspruchs auf rechtliches Gehör vor einer kantonalen Instanz, die nach einem bundesgerichtlichen Kassationsentscheid erneut zu urteilen hat. Die kantonale Instanz muss dem Betroffenen Gelegenheit zur Äusserung geben, es sei denn, sie verfüge in bezug auf den zu treffenden Entscheid über keinerlei Beurteilungsspielraum (E. 2).</w:t>
      </w:r>
    </w:p>
    <w:p>
      <w:pPr>
        <w:pStyle w:val="Heading2"/>
      </w:pPr>
      <w:r>
        <w:t>Erwägungen</w:t>
      </w:r>
    </w:p>
    <w:p>
      <w:r>
        <w:rPr>
          <w:b/>
        </w:rPr>
        <w:t>E. 2</w:t>
      </w:r>
    </w:p>
    <w:p>
      <w:r>
        <w:t>a) Le recourant fait tout d'abord valoir que la Cour de cassation cantonale ne lui a donné aucune occasion de s'exprimer, ni de solliciter, cas échéant, des mesures probatoires, avant de statuer à nouveau à la suite de l'arrêt rendu par la Cour de cassation pénale du Tribunal fédéral. Il y voit une violation du droit d'être entendu, tel qu'il est garanti par l' art. 4 Cst. b) Le droit d'être entendu est une garantie constitutionnelle de caractère formel, dont la violation doit entraîner l'annulation de la décision attaquée, indépendamment des chances de succès du recourant sur le fond ( ATF 118 Ia 18 consid. 1a, ATF 117 Ia 7 consid. 1a, ATF 115 Ia 10 consid. 2a et les arrêts cités). c) Le contenu du droit d'être entendu est déterminé en premier lieu par les dispositions cantonales de procédure, dont le Tribunal fédéral ne contrôle l'application et l'interprétation que sous l'angle restreint de l'arbitraire; dans tous les cas cependant, l'autorité cantonale doit respecter les garanties minimales déduites directement de l' art. 4 Cst. , dont le Tribunal fédéral examine librement le respect ( ATF 118 Ia 18 consid, 1b, ATF 117 Ia 7 consid. 1a, ATF 116 Ia 98 consid. 3a et les arrêts cités). Comme le recourant n'invoque pas la violation d'une disposition cantonale relative au droit d'être entendu, le grief soulevé doit BGE 119 Ia 136 S. 139 être examiné exclusivement à la lumière des principes déduits directement de l' art. 4 Cst. ( ATF 118 Ia 18 consid. 1b, ATF 117 Ia 7 consid. 1a et les arrêts cités). d) Le droit d'être entendu, tel qu'il est garanti par l' art. 4 Cst. , comprend en particulier le droit pour l'intéressé de s'exprimer sur les éléments pertinents avant qu'une décision ne soit prise touchant sa situation juridique, le droit de produire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ATF 118 Ia 19 consid. 1c, ATF 116 Ia 99 consid. 3b, ATF 115 Ia 11 consid. 2b et les arrêts cités). e) En l'espèce, la cause avait été renvoyée à la cour cantonale pour nouvelle décision à la suite d'un arrêt rendu, sur un pourvoi en nullité, par la Cour de cassation pénale du Tribunal fédéral. Dans un tel cas, l'autorité cantonale doit fonder sa décision sur les considérants de droit de l'arrêt de cassation ( art. 277ter al. 2 PPF ). Avant de statuer à nouveau, l'autorité cantonale doit respecter le droit d'être entendu garanti par l' art. 4 Cst. , ce qui implique notamment, en règle générale, qu'elle donne à l'accusé une nouvelle occasion de s'exprimer ( ATF 103 Ia 139 s. consid. 2d, 101 Ia 171 consid. 3; CORBOZ, Le pourvoi en nullité, SJ 1991 p. 100; HAUSER, Kurzlehrbuch des schweizerischen Strafprozessrechts, 2e éd., p. 315; SCHMID, Strafprozessrecht, no 1110; PIQUEREZ, Précis de procédure pénale suisse, no 2423). Il ne peut être fait exception à ce principe que lorsque l'autorité cantonale ne dispose d'aucune latitude quant à la décision à rendre; tel n'est pas le cas lorsque la Cour de cassation du Tribunal fédéral a adopté une autre conception juridique qui modifie le cadre des faits pertinents ou encore lorsque la peine doit être fixée à nouveau, ce qui implique la prise en compte de la situation personnelle de l'accusé au moment du jugement ( ATF 103 Ia 139 s. consid. 2d; SCHWERI, Eidgenössische Nichtigkeitsbeschwerde in Strafsachen, Berne 1993 no 758). f) En l'espèce, les circonstances sont fondamentalement différentes de celles résultant de la jurisprudence citée par la cour cantonale ( ATF 115 Ia 102 s. consid. 2) où il suffisait de tirer les conséquences, sous l'angle des frais et dépens, de la décision rendue. Dans le présent cas, la Cour de cassation du Tribunal fédéral, ayant abandonné la figure du délit successif, a estimé que la prescription commençait à courir à chaque fois que l'accusé avait réalisé tous les BGE 119 Ia 136 S. 140 éléments constitutifs de l' art. 316 CP . Comme la cour cantonale l'a elle-même relevé dans l'arrêt attaqué, cela implique que l'on détermine d'autres faits que ceux figurant dans le jugement de première instance. Le recourant soutient que les dispositions de procédure applicables ne permettaient pas à la cour cantonale de compléter elle-même l'état de fait; indépendamment des chances de succès de cette argumentation, il avait le droit de s'exprimer à ce propos. Il fallait principalement déterminer des actes, des dates et des montants (en veillant dans chaque cas à ce qu'il s'agisse bien d'accepter un avantage au sens de l' art. 316 CP ); par ailleurs, il convenait d'établir quels étaient les actes de procédure interruptifs de prescription et de se prononcer quant à leur date. Sur l'ensemble de ces éléments de nature à influer sur la décision à rendre, le recourant avait également le droit de s'exprimer. Enfin, la peine devait être fixée à nouveau, compte tenu de l'abandon de certains chefs d'accusation et de la prescription, ce qui impliquait que l'accusé puisse exposer sa situation actuelle. Ainsi, il n'est pas douteux que la décision attaquée a été rendue en violation du droit d'être entendu, ce qui doit entraîner son annulation, indépendamment de la question de savoir si le recourant peut espérer sur le fond une décision plus favorable. g) Comme la cour cantonale n'a donné au recourant aucune occasion de s'exprimer et qu'elle ne lui a pas davantage fixé un délai pour faire savoir s'il entendait le faire ou y renoncer, on ne peut pas considérer qu'il a agi tardivement ou qu'il a renoncé à son droit. D'ailleurs, on ne doit pas admettre facilement qu'un justiciable a renoncé au droit d'être entendu ( ATF 118 Ia 19 consid. d). Le recours doit donc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